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工会会员服务卡后台管理</w:t>
      </w:r>
      <w:r>
        <w:rPr>
          <w:b/>
          <w:sz w:val="44"/>
          <w:szCs w:val="44"/>
        </w:rPr>
        <w:t>-操作手册</w:t>
      </w:r>
    </w:p>
    <w:p>
      <w:pPr>
        <w:jc w:val="left"/>
        <w:rPr>
          <w:b/>
          <w:sz w:val="44"/>
          <w:szCs w:val="44"/>
        </w:rPr>
      </w:pPr>
      <w:r>
        <w:rPr>
          <w:rFonts w:hint="eastAsia"/>
        </w:rPr>
        <w:t>登录管理平台系统网址：</w:t>
      </w:r>
    </w:p>
    <w:p>
      <w:pPr>
        <w:rPr>
          <w:rStyle w:val="16"/>
        </w:rPr>
      </w:pPr>
      <w:r>
        <w:fldChar w:fldCharType="begin"/>
      </w:r>
      <w:r>
        <w:instrText xml:space="preserve"> HYPERLINK "http://sgt.shzgh.org/Index.aspx" </w:instrText>
      </w:r>
      <w:r>
        <w:fldChar w:fldCharType="separate"/>
      </w:r>
      <w:r>
        <w:rPr>
          <w:rStyle w:val="16"/>
        </w:rPr>
        <w:t>http://sgt.shzgh.org/Index.aspx</w:t>
      </w:r>
      <w:r>
        <w:rPr>
          <w:rStyle w:val="16"/>
        </w:rPr>
        <w:fldChar w:fldCharType="end"/>
      </w:r>
    </w:p>
    <w:p>
      <w:r>
        <w:rPr>
          <w:rFonts w:hint="eastAsia"/>
        </w:rPr>
        <w:t>点击登录按钮</w:t>
      </w:r>
    </w:p>
    <w:p>
      <w:r>
        <w:drawing>
          <wp:inline distT="0" distB="0" distL="0" distR="0">
            <wp:extent cx="5274310" cy="27285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弹出登录框后，输入用户名密码，点击登录</w:t>
      </w:r>
    </w:p>
    <w:p>
      <w:r>
        <w:drawing>
          <wp:inline distT="0" distB="0" distL="0" distR="0">
            <wp:extent cx="5274310" cy="272859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b w:val="0"/>
        </w:rPr>
      </w:pPr>
      <w:r>
        <w:rPr>
          <w:rFonts w:hint="eastAsia"/>
          <w:b w:val="0"/>
        </w:rPr>
        <w:t>上海工会会员服务卡办理</w:t>
      </w:r>
    </w:p>
    <w:p>
      <w:pPr>
        <w:pStyle w:val="4"/>
        <w:rPr>
          <w:rFonts w:hint="eastAsia" w:asciiTheme="majorHAnsi" w:hAnsiTheme="majorHAnsi" w:eastAsiaTheme="majorEastAsia" w:cstheme="majorBidi"/>
          <w:b w:val="0"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 w:val="0"/>
          <w:sz w:val="28"/>
          <w:szCs w:val="28"/>
        </w:rPr>
        <w:t>点击“选中添加未办卡会员至待办”</w:t>
      </w:r>
    </w:p>
    <w:p>
      <w:r>
        <w:rPr>
          <w:rFonts w:hint="eastAsia"/>
        </w:rPr>
        <w:t>首页左侧模块会根据基层单位的权限显示指定模块</w:t>
      </w:r>
    </w:p>
    <w:p>
      <w:r>
        <w:rPr>
          <w:rFonts w:hint="eastAsia"/>
        </w:rPr>
        <w:t>点击会员卡服务管理，出现下拉菜单后，再点击会员卡信息管理。</w:t>
      </w:r>
    </w:p>
    <w:p>
      <w:r>
        <w:rPr>
          <w:rFonts w:hint="eastAsia"/>
        </w:rPr>
        <w:t>当前列表显示所有会员状态为正常的信息（转会中，未审核等状态不显示）</w:t>
      </w:r>
    </w:p>
    <w:p>
      <w:r>
        <w:rPr>
          <w:rFonts w:hint="eastAsia"/>
        </w:rPr>
        <w:t>仅办理状态为</w:t>
      </w:r>
      <w:r>
        <w:rPr>
          <w:rFonts w:hint="eastAsia"/>
          <w:color w:val="FF0000"/>
        </w:rPr>
        <w:t>待办中</w:t>
      </w:r>
      <w:r>
        <w:rPr>
          <w:rFonts w:hint="eastAsia"/>
        </w:rPr>
        <w:t>和</w:t>
      </w:r>
      <w:r>
        <w:rPr>
          <w:rFonts w:hint="eastAsia"/>
          <w:color w:val="FF0000"/>
        </w:rPr>
        <w:t>办卡失败</w:t>
      </w:r>
      <w:r>
        <w:rPr>
          <w:rFonts w:hint="eastAsia"/>
        </w:rPr>
        <w:t>时可以进行选中添加未办卡人员至待办人员列表。</w:t>
      </w:r>
    </w:p>
    <w:p>
      <w:r>
        <w:rPr>
          <w:rFonts w:hint="eastAsia"/>
        </w:rPr>
        <w:t>方法一：选择会员，点击“选中添加未办卡会员至待办”。如已办卡会员则无法选择</w:t>
      </w:r>
    </w:p>
    <w:p>
      <w:r>
        <w:drawing>
          <wp:inline distT="0" distB="0" distL="0" distR="0">
            <wp:extent cx="5274310" cy="272859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</w:t>
      </w:r>
    </w:p>
    <w:p>
      <w:r>
        <w:drawing>
          <wp:inline distT="0" distB="0" distL="0" distR="0">
            <wp:extent cx="5274310" cy="272859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弹出提示信息</w:t>
      </w:r>
    </w:p>
    <w:p>
      <w:r>
        <w:drawing>
          <wp:inline distT="0" distB="0" distL="0" distR="0">
            <wp:extent cx="5274310" cy="272859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HAnsi" w:hAnsiTheme="majorHAnsi" w:eastAsiaTheme="majorEastAsia" w:cstheme="majorBidi"/>
          <w:b w:val="0"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 w:val="0"/>
          <w:sz w:val="28"/>
          <w:szCs w:val="28"/>
        </w:rPr>
        <w:t>点击“添加全部未办卡会员至待办”</w:t>
      </w:r>
    </w:p>
    <w:p>
      <w:r>
        <w:rPr>
          <w:rFonts w:hint="eastAsia"/>
        </w:rPr>
        <w:t>方法二：点击“添加全部未办卡会员至待办”，将全部为</w:t>
      </w:r>
      <w:r>
        <w:rPr>
          <w:rFonts w:hint="eastAsia"/>
          <w:color w:val="FF0000"/>
        </w:rPr>
        <w:t>办卡失败</w:t>
      </w:r>
      <w:r>
        <w:rPr>
          <w:rFonts w:hint="eastAsia"/>
        </w:rPr>
        <w:t>和</w:t>
      </w:r>
      <w:r>
        <w:rPr>
          <w:rFonts w:hint="eastAsia"/>
          <w:color w:val="FF0000"/>
        </w:rPr>
        <w:t>未办卡人员</w:t>
      </w:r>
      <w:r>
        <w:rPr>
          <w:rFonts w:hint="eastAsia"/>
        </w:rPr>
        <w:t>提交至待办人员列表。</w:t>
      </w:r>
    </w:p>
    <w:p>
      <w:r>
        <w:drawing>
          <wp:inline distT="0" distB="0" distL="0" distR="0">
            <wp:extent cx="5274310" cy="272859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</w:t>
      </w:r>
    </w:p>
    <w:p>
      <w:pPr>
        <w:rPr>
          <w:rFonts w:hint="eastAsia"/>
        </w:rPr>
      </w:pPr>
      <w:r>
        <w:drawing>
          <wp:inline distT="0" distB="0" distL="0" distR="0">
            <wp:extent cx="5274310" cy="27285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</w:rPr>
        <w:t>弹出提示信息，</w:t>
      </w:r>
      <w:r>
        <w:rPr>
          <w:rFonts w:hint="eastAsia"/>
          <w:color w:val="FF0000"/>
        </w:rPr>
        <w:t>之后的步骤与选中添加至待办相同</w:t>
      </w:r>
    </w:p>
    <w:p>
      <w:pPr>
        <w:rPr>
          <w:rFonts w:hint="eastAsia"/>
        </w:rPr>
      </w:pPr>
      <w:r>
        <w:drawing>
          <wp:inline distT="0" distB="0" distL="0" distR="0">
            <wp:extent cx="5274310" cy="27285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提交市级校验</w:t>
      </w:r>
    </w:p>
    <w:p>
      <w:r>
        <w:rPr>
          <w:rFonts w:hint="eastAsia"/>
        </w:rPr>
        <w:t>所有待办列表中的会员提交市级检验。</w:t>
      </w:r>
    </w:p>
    <w:p>
      <w:r>
        <w:t>证件类型非身份证的</w:t>
      </w:r>
      <w:r>
        <w:rPr>
          <w:rFonts w:hint="eastAsia"/>
        </w:rPr>
        <w:t>会员，点击添加至待办可自动进入特殊通道</w:t>
      </w:r>
    </w:p>
    <w:p>
      <w:r>
        <w:t>姓名包含生僻字</w:t>
      </w:r>
      <w:r>
        <w:rPr>
          <w:rFonts w:hint="eastAsia"/>
        </w:rPr>
        <w:t>和</w:t>
      </w:r>
      <w:r>
        <w:t>姓名过长的</w:t>
      </w:r>
      <w:r>
        <w:rPr>
          <w:rFonts w:hint="eastAsia"/>
        </w:rPr>
        <w:t>会员</w:t>
      </w:r>
      <w:r>
        <w:t>等</w:t>
      </w:r>
      <w:r>
        <w:rPr>
          <w:rFonts w:hint="eastAsia"/>
        </w:rPr>
        <w:t>在银行反馈校验信息之后，手动切入特殊通道办理。</w:t>
      </w:r>
    </w:p>
    <w:p>
      <w:r>
        <w:drawing>
          <wp:inline distT="0" distB="0" distL="0" distR="0">
            <wp:extent cx="5274310" cy="27285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</w:t>
      </w:r>
    </w:p>
    <w:p>
      <w:r>
        <w:drawing>
          <wp:inline distT="0" distB="0" distL="0" distR="0">
            <wp:extent cx="5274310" cy="272859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</w:t>
      </w:r>
    </w:p>
    <w:p>
      <w:r>
        <w:drawing>
          <wp:inline distT="0" distB="0" distL="0" distR="0">
            <wp:extent cx="5274310" cy="272859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由于读取数据需要一定时间，所以</w:t>
      </w:r>
      <w:r>
        <w:rPr>
          <w:rFonts w:hint="eastAsia"/>
          <w:color w:val="FF0000"/>
        </w:rPr>
        <w:t>等待一段时间</w:t>
      </w:r>
      <w:r>
        <w:rPr>
          <w:rFonts w:hint="eastAsia"/>
        </w:rPr>
        <w:t>之后刷新页面可点击提交办卡。在校验反馈之后，校验失败的会员须移除后方可提交办卡。可以单人移除，可以批量移除，</w:t>
      </w:r>
      <w:r>
        <w:rPr>
          <w:rFonts w:hint="eastAsia"/>
          <w:color w:val="FF0000"/>
        </w:rPr>
        <w:t>失败信息</w:t>
      </w:r>
      <w:r>
        <w:rPr>
          <w:rFonts w:hint="eastAsia"/>
        </w:rPr>
        <w:t>可在会员详情-办卡日志中查看。</w:t>
      </w:r>
    </w:p>
    <w:p>
      <w:r>
        <w:drawing>
          <wp:inline distT="0" distB="0" distL="0" distR="0">
            <wp:extent cx="5274310" cy="272859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72859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/>
        </w:rPr>
        <w:t>点击图标转移至特殊通道办理</w:t>
      </w:r>
    </w:p>
    <w:p>
      <w:r>
        <w:drawing>
          <wp:inline distT="0" distB="0" distL="0" distR="0">
            <wp:extent cx="5274310" cy="272859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</w:t>
      </w:r>
    </w:p>
    <w:p>
      <w:r>
        <w:drawing>
          <wp:inline distT="0" distB="0" distL="0" distR="0">
            <wp:extent cx="5274310" cy="2728595"/>
            <wp:effectExtent l="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此时上面选择的会员已经被切换至特殊通道，点击特殊办卡通道标签</w:t>
      </w:r>
    </w:p>
    <w:p>
      <w:r>
        <w:drawing>
          <wp:inline distT="0" distB="0" distL="0" distR="0">
            <wp:extent cx="5274310" cy="2728595"/>
            <wp:effectExtent l="0" t="0" r="0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在特殊通道中可点击完善信息进行，会员信息的进一步完善，或移除会员之后提交办卡。</w:t>
      </w:r>
    </w:p>
    <w:p>
      <w:r>
        <w:rPr>
          <w:rFonts w:hint="eastAsia"/>
        </w:rPr>
        <w:t>或在确认其为普通通道后，切换回普通通道。</w:t>
      </w:r>
    </w:p>
    <w:p>
      <w:r>
        <w:drawing>
          <wp:inline distT="0" distB="0" distL="0" distR="0">
            <wp:extent cx="5274310" cy="2728595"/>
            <wp:effectExtent l="0" t="0" r="0" b="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点击确定</w:t>
      </w:r>
    </w:p>
    <w:p>
      <w:r>
        <w:drawing>
          <wp:inline distT="0" distB="0" distL="0" distR="0">
            <wp:extent cx="5274310" cy="2728595"/>
            <wp:effectExtent l="0" t="0" r="0" b="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提交办卡</w:t>
      </w:r>
    </w:p>
    <w:p>
      <w:r>
        <w:rPr>
          <w:rFonts w:hint="eastAsia"/>
        </w:rPr>
        <w:t>在办卡批次管理中看到提交的信息。特殊通道须完善信息后可提交办卡。</w:t>
      </w:r>
    </w:p>
    <w:p>
      <w:r>
        <w:drawing>
          <wp:inline distT="0" distB="0" distL="0" distR="0">
            <wp:extent cx="5274310" cy="272859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点击</w:t>
      </w:r>
      <w:r>
        <w:rPr>
          <w:rFonts w:hint="eastAsia"/>
          <w:lang w:eastAsia="zh-CN"/>
        </w:rPr>
        <w:t>办卡提交按钮</w:t>
      </w:r>
    </w:p>
    <w:p>
      <w:r>
        <w:drawing>
          <wp:inline distT="0" distB="0" distL="114300" distR="114300">
            <wp:extent cx="5262245" cy="2405380"/>
            <wp:effectExtent l="0" t="0" r="1460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填写网点信息</w:t>
      </w:r>
      <w:r>
        <w:rPr>
          <w:rFonts w:hint="eastAsia"/>
          <w:lang w:val="en-US" w:eastAsia="zh-CN"/>
        </w:rPr>
        <w:t xml:space="preserve"> 发卡支行,经办网点,联系人和联系方式必填,且要输入正确号码,便于银行联系领卡。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</w:t>
      </w:r>
      <w:bookmarkStart w:id="0" w:name="_GoBack"/>
      <w:bookmarkEnd w:id="0"/>
      <w:r>
        <w:rPr>
          <w:rFonts w:hint="eastAsia"/>
          <w:lang w:val="en-US" w:eastAsia="zh-CN"/>
        </w:rPr>
        <w:t>确定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579745" cy="2536190"/>
            <wp:effectExtent l="0" t="0" r="190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显示在待办人员列表的会员已移至办卡批次管理中</w:t>
      </w:r>
    </w:p>
    <w:p>
      <w:r>
        <w:drawing>
          <wp:inline distT="0" distB="0" distL="0" distR="0">
            <wp:extent cx="5274310" cy="272859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点击办卡批次管理菜单</w:t>
      </w:r>
    </w:p>
    <w:p>
      <w:r>
        <w:drawing>
          <wp:inline distT="0" distB="0" distL="0" distR="0">
            <wp:extent cx="5274310" cy="272859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HAnsi" w:hAnsiTheme="majorHAnsi" w:eastAsiaTheme="majorEastAsia" w:cstheme="majorBidi"/>
          <w:b w:val="0"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 w:val="0"/>
          <w:sz w:val="28"/>
          <w:szCs w:val="28"/>
        </w:rPr>
        <w:t>打印清册</w:t>
      </w:r>
    </w:p>
    <w:p>
      <w:r>
        <w:rPr>
          <w:rFonts w:hint="eastAsia"/>
        </w:rPr>
        <w:t>点击打印清册按钮</w:t>
      </w:r>
    </w:p>
    <w:p>
      <w:r>
        <w:drawing>
          <wp:inline distT="0" distB="0" distL="0" distR="0">
            <wp:extent cx="5274310" cy="309245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此时浏览器中已经打印了人员清册，打印清册后会显示清册打印时间。</w:t>
      </w:r>
    </w:p>
    <w:p>
      <w:pPr>
        <w:pStyle w:val="4"/>
        <w:rPr>
          <w:rFonts w:hint="eastAsia" w:asciiTheme="majorHAnsi" w:hAnsiTheme="majorHAnsi" w:eastAsiaTheme="majorEastAsia" w:cstheme="majorBidi"/>
          <w:b w:val="0"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 w:val="0"/>
          <w:sz w:val="28"/>
          <w:szCs w:val="28"/>
        </w:rPr>
        <w:t>银行反馈</w:t>
      </w:r>
    </w:p>
    <w:p>
      <w:r>
        <w:rPr>
          <w:rFonts w:hint="eastAsia"/>
        </w:rPr>
        <w:t>点击查看详情</w:t>
      </w:r>
    </w:p>
    <w:p>
      <w:r>
        <w:drawing>
          <wp:inline distT="0" distB="0" distL="0" distR="0">
            <wp:extent cx="5274310" cy="272859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此时可看到会员详情列表</w:t>
      </w:r>
    </w:p>
    <w:p>
      <w:r>
        <w:drawing>
          <wp:inline distT="0" distB="0" distL="0" distR="0">
            <wp:extent cx="5274310" cy="2728595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点击会员详情的查看详情按钮，可以看到该会员的办卡经历</w:t>
      </w:r>
    </w:p>
    <w:p>
      <w:r>
        <w:drawing>
          <wp:inline distT="0" distB="0" distL="0" distR="0">
            <wp:extent cx="5274310" cy="2728595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在银行反馈信息之前可打印清册。点击打印清册，查看人员清册。等待银行反馈信息。</w:t>
      </w:r>
    </w:p>
    <w:p>
      <w:r>
        <w:rPr>
          <w:rFonts w:hint="eastAsia"/>
        </w:rPr>
        <w:t>银行反馈后会显示银行反馈时间。点击查看详情-办卡日志可以看到反馈失败和成功的信息。</w:t>
      </w:r>
    </w:p>
    <w:p>
      <w:pPr>
        <w:pStyle w:val="3"/>
        <w:numPr>
          <w:ilvl w:val="0"/>
          <w:numId w:val="1"/>
        </w:numPr>
        <w:rPr>
          <w:b w:val="0"/>
        </w:rPr>
      </w:pPr>
      <w:r>
        <w:rPr>
          <w:rFonts w:hint="eastAsia"/>
          <w:b w:val="0"/>
        </w:rPr>
        <w:t>上海工会会员服务卡参保</w:t>
      </w:r>
    </w:p>
    <w:p>
      <w:pPr>
        <w:pStyle w:val="4"/>
        <w:rPr>
          <w:rFonts w:asciiTheme="majorHAnsi" w:hAnsiTheme="majorHAnsi" w:eastAsiaTheme="majorEastAsia" w:cstheme="majorBidi"/>
          <w:b w:val="0"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 w:val="0"/>
          <w:sz w:val="28"/>
          <w:szCs w:val="28"/>
        </w:rPr>
        <w:t>参保申请</w:t>
      </w:r>
    </w:p>
    <w:p>
      <w:r>
        <w:rPr>
          <w:rFonts w:hint="eastAsia"/>
        </w:rPr>
        <w:t>工会会员服务卡参保的三种方式：集中参保办理，有卡无保人员办理，新办卡人员参保办理。</w:t>
      </w:r>
    </w:p>
    <w:p/>
    <w:p/>
    <w:p>
      <w:r>
        <w:drawing>
          <wp:inline distT="0" distB="0" distL="0" distR="0">
            <wp:extent cx="5274310" cy="2728595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HAnsi" w:hAnsiTheme="majorHAnsi" w:eastAsiaTheme="majorEastAsia" w:cstheme="majorBidi"/>
          <w:b w:val="0"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 w:val="0"/>
          <w:sz w:val="28"/>
          <w:szCs w:val="28"/>
        </w:rPr>
        <w:t>选择新办卡人员参保办理</w:t>
      </w:r>
    </w:p>
    <w:p>
      <w:r>
        <w:rPr>
          <w:rFonts w:hint="eastAsia"/>
        </w:rPr>
        <w:t>看到新办卡人员本年度的参保信息。</w:t>
      </w:r>
    </w:p>
    <w:p>
      <w:r>
        <w:rPr>
          <w:rFonts w:hint="eastAsia"/>
        </w:rPr>
        <w:t>下拉选择保障类型，</w:t>
      </w:r>
      <w:r>
        <w:rPr>
          <w:rFonts w:hint="eastAsia"/>
          <w:color w:val="FF0000"/>
        </w:rPr>
        <w:t>同一保障年度只能选择一个保障类型</w:t>
      </w:r>
      <w:r>
        <w:rPr>
          <w:rFonts w:hint="eastAsia"/>
        </w:rPr>
        <w:t>。之后可看到保障费用，市总划拨和区局、各级工会和基层单位缴费情况（显示费用为总金额）。</w:t>
      </w:r>
    </w:p>
    <w:p>
      <w:r>
        <w:drawing>
          <wp:inline distT="0" distB="0" distL="0" distR="0">
            <wp:extent cx="5274310" cy="2728595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点击下拉菜单选择保障类型</w:t>
      </w:r>
    </w:p>
    <w:p>
      <w:r>
        <w:drawing>
          <wp:inline distT="0" distB="0" distL="0" distR="0">
            <wp:extent cx="5274310" cy="2728595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HAnsi" w:hAnsiTheme="majorHAnsi" w:eastAsiaTheme="majorEastAsia" w:cstheme="majorBidi"/>
          <w:b w:val="0"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 w:val="0"/>
          <w:sz w:val="28"/>
          <w:szCs w:val="28"/>
        </w:rPr>
        <w:t>提交至区局审核</w:t>
      </w:r>
    </w:p>
    <w:p>
      <w:r>
        <w:rPr>
          <w:rFonts w:hint="eastAsia"/>
        </w:rPr>
        <w:t>之后基层可在保障信息查询中查看已提交区局的保障信息</w:t>
      </w:r>
    </w:p>
    <w:p>
      <w:r>
        <w:drawing>
          <wp:inline distT="0" distB="0" distL="0" distR="0">
            <wp:extent cx="5274310" cy="2728595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left"/>
    </w:pPr>
    <w:r>
      <w:rPr>
        <w:rFonts w:hint="eastAsia"/>
      </w:rPr>
      <w:t>工会会员服务卡后台管理-操作手册</w:t>
    </w:r>
    <w:sdt>
      <w:sdtPr>
        <w:id w:val="73649850"/>
      </w:sdtPr>
      <w:sdtEndPr>
        <w:rPr>
          <w:sz w:val="20"/>
        </w:rPr>
      </w:sdtEndPr>
      <w:sdtContent>
        <w:r>
          <w:rPr>
            <w:lang w:val="zh-CN"/>
          </w:rPr>
          <w:t xml:space="preserve"> </w:t>
        </w:r>
        <w:r>
          <w:rPr>
            <w:rFonts w:hint="eastAsia"/>
            <w:lang w:val="zh-CN"/>
          </w:rPr>
          <w:t xml:space="preserve"> </w:t>
        </w:r>
        <w:r>
          <w:rPr>
            <w:lang w:val="zh-CN"/>
          </w:rPr>
          <w:t xml:space="preserve">               </w:t>
        </w:r>
        <w:r>
          <w:rPr>
            <w:rFonts w:hint="eastAsia"/>
            <w:sz w:val="20"/>
            <w:lang w:val="zh-CN"/>
          </w:rPr>
          <w:t xml:space="preserve">                                 </w:t>
        </w:r>
        <w:r>
          <w:rPr>
            <w:b/>
            <w:sz w:val="28"/>
            <w:szCs w:val="24"/>
          </w:rPr>
          <w:fldChar w:fldCharType="begin"/>
        </w:r>
        <w:r>
          <w:rPr>
            <w:b/>
            <w:sz w:val="20"/>
          </w:rPr>
          <w:instrText xml:space="preserve">PAGE</w:instrText>
        </w:r>
        <w:r>
          <w:rPr>
            <w:b/>
            <w:sz w:val="28"/>
            <w:szCs w:val="24"/>
          </w:rPr>
          <w:fldChar w:fldCharType="separate"/>
        </w:r>
        <w:r>
          <w:rPr>
            <w:b/>
            <w:sz w:val="20"/>
          </w:rPr>
          <w:t>16</w:t>
        </w:r>
        <w:r>
          <w:rPr>
            <w:b/>
            <w:sz w:val="28"/>
            <w:szCs w:val="24"/>
          </w:rPr>
          <w:fldChar w:fldCharType="end"/>
        </w:r>
        <w:r>
          <w:rPr>
            <w:sz w:val="20"/>
            <w:lang w:val="zh-CN"/>
          </w:rPr>
          <w:t xml:space="preserve"> / </w:t>
        </w:r>
        <w:r>
          <w:rPr>
            <w:b/>
            <w:sz w:val="28"/>
            <w:szCs w:val="24"/>
          </w:rPr>
          <w:fldChar w:fldCharType="begin"/>
        </w:r>
        <w:r>
          <w:rPr>
            <w:b/>
            <w:sz w:val="20"/>
          </w:rPr>
          <w:instrText xml:space="preserve">NUMPAGES</w:instrText>
        </w:r>
        <w:r>
          <w:rPr>
            <w:b/>
            <w:sz w:val="28"/>
            <w:szCs w:val="24"/>
          </w:rPr>
          <w:fldChar w:fldCharType="separate"/>
        </w:r>
        <w:r>
          <w:rPr>
            <w:b/>
            <w:sz w:val="20"/>
          </w:rPr>
          <w:t>16</w:t>
        </w:r>
        <w:r>
          <w:rPr>
            <w:b/>
            <w:sz w:val="28"/>
            <w:szCs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B5125"/>
    <w:multiLevelType w:val="multilevel"/>
    <w:tmpl w:val="2F1B512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069E"/>
    <w:rsid w:val="00010495"/>
    <w:rsid w:val="00050E26"/>
    <w:rsid w:val="00084FAD"/>
    <w:rsid w:val="000A2D50"/>
    <w:rsid w:val="000B5968"/>
    <w:rsid w:val="000C4789"/>
    <w:rsid w:val="000E3758"/>
    <w:rsid w:val="000F034E"/>
    <w:rsid w:val="0010197F"/>
    <w:rsid w:val="00111E4F"/>
    <w:rsid w:val="00115FDA"/>
    <w:rsid w:val="00184984"/>
    <w:rsid w:val="00202027"/>
    <w:rsid w:val="00222B04"/>
    <w:rsid w:val="00294B6F"/>
    <w:rsid w:val="002C652F"/>
    <w:rsid w:val="002F7CB9"/>
    <w:rsid w:val="003312FA"/>
    <w:rsid w:val="00351D17"/>
    <w:rsid w:val="003F7157"/>
    <w:rsid w:val="00415F73"/>
    <w:rsid w:val="004646B5"/>
    <w:rsid w:val="004805B6"/>
    <w:rsid w:val="004846C0"/>
    <w:rsid w:val="004A7360"/>
    <w:rsid w:val="004D256C"/>
    <w:rsid w:val="004F30E4"/>
    <w:rsid w:val="005005DA"/>
    <w:rsid w:val="00514D63"/>
    <w:rsid w:val="00515824"/>
    <w:rsid w:val="005175AD"/>
    <w:rsid w:val="00531A3C"/>
    <w:rsid w:val="005346DA"/>
    <w:rsid w:val="00543316"/>
    <w:rsid w:val="005725A5"/>
    <w:rsid w:val="005824C7"/>
    <w:rsid w:val="00590E38"/>
    <w:rsid w:val="005A0F5C"/>
    <w:rsid w:val="005B750C"/>
    <w:rsid w:val="005C069E"/>
    <w:rsid w:val="00662569"/>
    <w:rsid w:val="0067789E"/>
    <w:rsid w:val="00683800"/>
    <w:rsid w:val="006944C1"/>
    <w:rsid w:val="006B5448"/>
    <w:rsid w:val="006D1336"/>
    <w:rsid w:val="006E3302"/>
    <w:rsid w:val="006E7979"/>
    <w:rsid w:val="00707766"/>
    <w:rsid w:val="00741864"/>
    <w:rsid w:val="0074635B"/>
    <w:rsid w:val="00756092"/>
    <w:rsid w:val="007A4B1A"/>
    <w:rsid w:val="007C6090"/>
    <w:rsid w:val="007D0814"/>
    <w:rsid w:val="007D3DED"/>
    <w:rsid w:val="007E2687"/>
    <w:rsid w:val="007E6712"/>
    <w:rsid w:val="008435E8"/>
    <w:rsid w:val="00853492"/>
    <w:rsid w:val="0086631E"/>
    <w:rsid w:val="00880654"/>
    <w:rsid w:val="00890417"/>
    <w:rsid w:val="00895F58"/>
    <w:rsid w:val="008A53EC"/>
    <w:rsid w:val="00915118"/>
    <w:rsid w:val="00935188"/>
    <w:rsid w:val="009552D8"/>
    <w:rsid w:val="009B23A5"/>
    <w:rsid w:val="009B78D4"/>
    <w:rsid w:val="009E03A6"/>
    <w:rsid w:val="009E62C3"/>
    <w:rsid w:val="009F339A"/>
    <w:rsid w:val="00A458AC"/>
    <w:rsid w:val="00A45B32"/>
    <w:rsid w:val="00A563F6"/>
    <w:rsid w:val="00A6508E"/>
    <w:rsid w:val="00A76549"/>
    <w:rsid w:val="00A91107"/>
    <w:rsid w:val="00AA06B0"/>
    <w:rsid w:val="00AA37A8"/>
    <w:rsid w:val="00AC07E8"/>
    <w:rsid w:val="00AD351A"/>
    <w:rsid w:val="00AF0C2C"/>
    <w:rsid w:val="00B03388"/>
    <w:rsid w:val="00B53D05"/>
    <w:rsid w:val="00BA2D7C"/>
    <w:rsid w:val="00BC3FE3"/>
    <w:rsid w:val="00BE4C47"/>
    <w:rsid w:val="00C1420D"/>
    <w:rsid w:val="00C14497"/>
    <w:rsid w:val="00C20AA5"/>
    <w:rsid w:val="00C317BB"/>
    <w:rsid w:val="00C34304"/>
    <w:rsid w:val="00C441E2"/>
    <w:rsid w:val="00C444B6"/>
    <w:rsid w:val="00C91DD3"/>
    <w:rsid w:val="00CD647A"/>
    <w:rsid w:val="00D145D3"/>
    <w:rsid w:val="00D2206D"/>
    <w:rsid w:val="00D250E5"/>
    <w:rsid w:val="00E00331"/>
    <w:rsid w:val="00E0322F"/>
    <w:rsid w:val="00E225E3"/>
    <w:rsid w:val="00E36C88"/>
    <w:rsid w:val="00E40AF8"/>
    <w:rsid w:val="00E807C5"/>
    <w:rsid w:val="00E85231"/>
    <w:rsid w:val="00E92915"/>
    <w:rsid w:val="00E95C02"/>
    <w:rsid w:val="00EC04CB"/>
    <w:rsid w:val="00EC1712"/>
    <w:rsid w:val="00ED17B9"/>
    <w:rsid w:val="00F23F24"/>
    <w:rsid w:val="00F419EF"/>
    <w:rsid w:val="00F6010B"/>
    <w:rsid w:val="00F6711C"/>
    <w:rsid w:val="00F935D9"/>
    <w:rsid w:val="00FA1DA1"/>
    <w:rsid w:val="00FA5376"/>
    <w:rsid w:val="00FB2ACA"/>
    <w:rsid w:val="00FB41F5"/>
    <w:rsid w:val="00FE1BB0"/>
    <w:rsid w:val="0CA1398C"/>
    <w:rsid w:val="329F7AF4"/>
    <w:rsid w:val="4B1D0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8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0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Document Map"/>
    <w:basedOn w:val="1"/>
    <w:link w:val="23"/>
    <w:semiHidden/>
    <w:unhideWhenUsed/>
    <w:qFormat/>
    <w:uiPriority w:val="99"/>
    <w:rPr>
      <w:rFonts w:ascii="宋体" w:eastAsia="宋体"/>
      <w:sz w:val="24"/>
      <w:szCs w:val="24"/>
    </w:rPr>
  </w:style>
  <w:style w:type="paragraph" w:styleId="10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FollowedHyperlink"/>
    <w:basedOn w:val="14"/>
    <w:semiHidden/>
    <w:unhideWhenUsed/>
    <w:qFormat/>
    <w:uiPriority w:val="99"/>
    <w:rPr>
      <w:color w:val="954F72" w:themeColor="followedHyperlink"/>
      <w:u w:val="single"/>
    </w:rPr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</w:rPr>
  </w:style>
  <w:style w:type="character" w:customStyle="1" w:styleId="17">
    <w:name w:val="标题 1 字符"/>
    <w:basedOn w:val="1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标题 3 字符"/>
    <w:basedOn w:val="14"/>
    <w:link w:val="4"/>
    <w:qFormat/>
    <w:uiPriority w:val="9"/>
    <w:rPr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标题 4 字符"/>
    <w:basedOn w:val="14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3">
    <w:name w:val="文档结构图 字符"/>
    <w:basedOn w:val="14"/>
    <w:link w:val="9"/>
    <w:semiHidden/>
    <w:qFormat/>
    <w:uiPriority w:val="99"/>
    <w:rPr>
      <w:rFonts w:ascii="宋体" w:eastAsia="宋体"/>
      <w:sz w:val="24"/>
      <w:szCs w:val="24"/>
    </w:rPr>
  </w:style>
  <w:style w:type="character" w:customStyle="1" w:styleId="24">
    <w:name w:val="批注框文本 字符"/>
    <w:basedOn w:val="14"/>
    <w:link w:val="10"/>
    <w:semiHidden/>
    <w:qFormat/>
    <w:uiPriority w:val="99"/>
    <w:rPr>
      <w:sz w:val="18"/>
      <w:szCs w:val="18"/>
    </w:rPr>
  </w:style>
  <w:style w:type="character" w:customStyle="1" w:styleId="25">
    <w:name w:val="页眉 字符"/>
    <w:basedOn w:val="14"/>
    <w:link w:val="12"/>
    <w:qFormat/>
    <w:uiPriority w:val="0"/>
    <w:rPr>
      <w:sz w:val="18"/>
      <w:szCs w:val="18"/>
    </w:rPr>
  </w:style>
  <w:style w:type="character" w:customStyle="1" w:styleId="26">
    <w:name w:val="页脚 字符"/>
    <w:basedOn w:val="14"/>
    <w:link w:val="11"/>
    <w:qFormat/>
    <w:uiPriority w:val="99"/>
    <w:rPr>
      <w:sz w:val="18"/>
      <w:szCs w:val="18"/>
    </w:rPr>
  </w:style>
  <w:style w:type="character" w:customStyle="1" w:styleId="27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8">
    <w:name w:val="标题 5 字符"/>
    <w:basedOn w:val="14"/>
    <w:link w:val="6"/>
    <w:semiHidden/>
    <w:qFormat/>
    <w:uiPriority w:val="9"/>
    <w:rPr>
      <w:b/>
      <w:bCs/>
      <w:sz w:val="28"/>
      <w:szCs w:val="28"/>
    </w:rPr>
  </w:style>
  <w:style w:type="character" w:customStyle="1" w:styleId="29">
    <w:name w:val="标题 6 字符"/>
    <w:basedOn w:val="14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0">
    <w:name w:val="标题 7 字符"/>
    <w:basedOn w:val="14"/>
    <w:link w:val="8"/>
    <w:semiHidden/>
    <w:qFormat/>
    <w:uiPriority w:val="9"/>
    <w:rPr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189</Words>
  <Characters>1078</Characters>
  <Lines>8</Lines>
  <Paragraphs>2</Paragraphs>
  <TotalTime>511</TotalTime>
  <ScaleCrop>false</ScaleCrop>
  <LinksUpToDate>false</LinksUpToDate>
  <CharactersWithSpaces>1265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2018-09-12T07:13:00Z</dcterms:created>
  <dc:creator>孙 庭渊</dc:creator>
  <cp:lastModifiedBy>违心</cp:lastModifiedBy>
  <cp:lastPrinted>2018-11-27T09:57:00Z</cp:lastPrinted>
  <dcterms:modified xsi:type="dcterms:W3CDTF">2019-05-07T07:08:23Z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